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268" w:rsidRPr="00810846" w:rsidRDefault="0016511A" w:rsidP="0016511A">
      <w:pPr>
        <w:spacing w:line="240" w:lineRule="auto"/>
        <w:jc w:val="both"/>
        <w:rPr>
          <w:rFonts w:ascii="Times New Roman" w:hAnsi="Times New Roman"/>
          <w:b/>
          <w:sz w:val="24"/>
          <w:szCs w:val="24"/>
        </w:rPr>
      </w:pPr>
      <w:r w:rsidRPr="00810846">
        <w:rPr>
          <w:rFonts w:ascii="Times New Roman" w:hAnsi="Times New Roman"/>
          <w:b/>
          <w:sz w:val="24"/>
          <w:szCs w:val="24"/>
        </w:rPr>
        <w:t>Impact of Mainstreaming On Deaf Children</w:t>
      </w:r>
    </w:p>
    <w:p w:rsidR="0016511A" w:rsidRPr="00810846" w:rsidRDefault="00722268" w:rsidP="0016511A">
      <w:pPr>
        <w:pStyle w:val="BodyText"/>
        <w:jc w:val="both"/>
        <w:rPr>
          <w:szCs w:val="24"/>
        </w:rPr>
      </w:pPr>
      <w:r w:rsidRPr="00810846">
        <w:rPr>
          <w:b/>
          <w:bCs/>
          <w:szCs w:val="24"/>
        </w:rPr>
        <w:t>Introduction</w:t>
      </w:r>
      <w:r w:rsidR="0016511A" w:rsidRPr="00810846">
        <w:rPr>
          <w:szCs w:val="24"/>
        </w:rPr>
        <w:t xml:space="preserve"> </w:t>
      </w:r>
    </w:p>
    <w:p w:rsidR="0016511A" w:rsidRPr="00810846" w:rsidRDefault="0016511A" w:rsidP="0016511A">
      <w:pPr>
        <w:pStyle w:val="BodyText"/>
        <w:jc w:val="both"/>
        <w:rPr>
          <w:szCs w:val="24"/>
        </w:rPr>
      </w:pPr>
    </w:p>
    <w:p w:rsidR="0016511A" w:rsidRPr="00810846" w:rsidRDefault="0016511A" w:rsidP="0016511A">
      <w:pPr>
        <w:pStyle w:val="BodyText"/>
        <w:jc w:val="both"/>
        <w:rPr>
          <w:i/>
          <w:szCs w:val="24"/>
        </w:rPr>
      </w:pPr>
      <w:r w:rsidRPr="00810846">
        <w:rPr>
          <w:i/>
          <w:szCs w:val="24"/>
        </w:rPr>
        <w:t xml:space="preserve">When planning for a mainstream </w:t>
      </w:r>
      <w:proofErr w:type="spellStart"/>
      <w:r w:rsidRPr="00810846">
        <w:rPr>
          <w:i/>
          <w:szCs w:val="24"/>
        </w:rPr>
        <w:t>programme</w:t>
      </w:r>
      <w:proofErr w:type="spellEnd"/>
      <w:r w:rsidRPr="00810846">
        <w:rPr>
          <w:i/>
          <w:szCs w:val="24"/>
        </w:rPr>
        <w:t xml:space="preserve">, it is important to consider the cost of the same. In this article/lecture, we shall consider the budget implications when implementing such a </w:t>
      </w:r>
      <w:proofErr w:type="spellStart"/>
      <w:r w:rsidRPr="00810846">
        <w:rPr>
          <w:i/>
          <w:szCs w:val="24"/>
        </w:rPr>
        <w:t>programme</w:t>
      </w:r>
      <w:proofErr w:type="spellEnd"/>
      <w:r w:rsidRPr="00810846">
        <w:rPr>
          <w:i/>
          <w:szCs w:val="24"/>
        </w:rPr>
        <w:t>. We will also explore the impact of mainstreaming on deaf children.</w:t>
      </w:r>
    </w:p>
    <w:p w:rsidR="00722268" w:rsidRPr="00810846" w:rsidRDefault="0016511A" w:rsidP="0016511A">
      <w:pPr>
        <w:pStyle w:val="Heading2"/>
        <w:spacing w:line="240" w:lineRule="auto"/>
        <w:jc w:val="both"/>
        <w:rPr>
          <w:rFonts w:ascii="Times New Roman" w:hAnsi="Times New Roman"/>
          <w:i w:val="0"/>
          <w:sz w:val="24"/>
          <w:szCs w:val="24"/>
        </w:rPr>
      </w:pPr>
      <w:bookmarkStart w:id="0" w:name="_Toc427916242"/>
      <w:bookmarkStart w:id="1" w:name="_Toc427920769"/>
      <w:r w:rsidRPr="00810846">
        <w:rPr>
          <w:rFonts w:ascii="Times New Roman" w:hAnsi="Times New Roman"/>
          <w:i w:val="0"/>
          <w:sz w:val="24"/>
          <w:szCs w:val="24"/>
        </w:rPr>
        <w:t xml:space="preserve">The </w:t>
      </w:r>
      <w:r w:rsidR="00722268" w:rsidRPr="00810846">
        <w:rPr>
          <w:rFonts w:ascii="Times New Roman" w:hAnsi="Times New Roman"/>
          <w:i w:val="0"/>
          <w:sz w:val="24"/>
          <w:szCs w:val="24"/>
        </w:rPr>
        <w:t>Costs</w:t>
      </w:r>
      <w:bookmarkEnd w:id="0"/>
      <w:bookmarkEnd w:id="1"/>
      <w:r w:rsidRPr="00810846">
        <w:rPr>
          <w:rFonts w:ascii="Times New Roman" w:hAnsi="Times New Roman"/>
          <w:i w:val="0"/>
          <w:sz w:val="24"/>
          <w:szCs w:val="24"/>
        </w:rPr>
        <w:t xml:space="preserve"> Implications </w:t>
      </w:r>
    </w:p>
    <w:p w:rsidR="00722268" w:rsidRPr="00810846" w:rsidRDefault="00722268" w:rsidP="0016511A">
      <w:pPr>
        <w:spacing w:line="240" w:lineRule="auto"/>
        <w:jc w:val="both"/>
        <w:rPr>
          <w:rFonts w:ascii="Times New Roman" w:hAnsi="Times New Roman"/>
          <w:sz w:val="24"/>
          <w:szCs w:val="24"/>
        </w:rPr>
      </w:pPr>
      <w:bookmarkStart w:id="2" w:name="_Toc427916243"/>
      <w:r w:rsidRPr="00810846">
        <w:rPr>
          <w:rFonts w:ascii="Times New Roman" w:hAnsi="Times New Roman"/>
          <w:sz w:val="24"/>
          <w:szCs w:val="24"/>
        </w:rPr>
        <w:t>Schools are required to provide special education services but may not be given additional financial resources. The per-student cost of special education is high. The U.S.'s 2005 Special Education Expenditures Program (SEEP) indicates that the cost per student in special education ranges from a low of $10,558 for students with learning disabilities to a high of $20,095 for students with multiple disabilities. The average cost per pupil for a regular education with no special education services is $6,556. Therefore, the average expenditure for students with learning disabilities is 1.6 times that of a general education student.</w:t>
      </w:r>
      <w:bookmarkStart w:id="3" w:name="_Toc427916244"/>
      <w:bookmarkEnd w:id="2"/>
      <w:r w:rsidRPr="00810846">
        <w:rPr>
          <w:rFonts w:ascii="Times New Roman" w:hAnsi="Times New Roman"/>
          <w:sz w:val="24"/>
          <w:szCs w:val="24"/>
        </w:rPr>
        <w:t xml:space="preserve"> Careful attention must be given as well to combinations of students with disabilities in a mainstreamed classroom. For example, a student with conduct disorder may not combine well with a student with autism, while putting many children with dyslexia in the same class may prove to be particularly inefficient.</w:t>
      </w:r>
      <w:bookmarkEnd w:id="3"/>
    </w:p>
    <w:p w:rsidR="00722268" w:rsidRPr="00810846" w:rsidRDefault="00722268" w:rsidP="0016511A">
      <w:pPr>
        <w:pStyle w:val="Heading2"/>
        <w:spacing w:line="240" w:lineRule="auto"/>
        <w:jc w:val="both"/>
        <w:rPr>
          <w:rFonts w:ascii="Times New Roman" w:hAnsi="Times New Roman"/>
          <w:i w:val="0"/>
          <w:sz w:val="24"/>
          <w:szCs w:val="24"/>
        </w:rPr>
      </w:pPr>
      <w:bookmarkStart w:id="4" w:name="_Toc427916246"/>
      <w:bookmarkStart w:id="5" w:name="_Toc427920770"/>
      <w:r w:rsidRPr="00810846">
        <w:rPr>
          <w:rFonts w:ascii="Times New Roman" w:hAnsi="Times New Roman"/>
          <w:i w:val="0"/>
          <w:sz w:val="24"/>
          <w:szCs w:val="24"/>
        </w:rPr>
        <w:t>Special Consequences for Deaf Students</w:t>
      </w:r>
      <w:bookmarkEnd w:id="4"/>
      <w:bookmarkEnd w:id="5"/>
    </w:p>
    <w:p w:rsidR="00722268" w:rsidRPr="00810846" w:rsidRDefault="00722268" w:rsidP="0016511A">
      <w:pPr>
        <w:spacing w:line="240" w:lineRule="auto"/>
        <w:jc w:val="both"/>
        <w:rPr>
          <w:rFonts w:ascii="Times New Roman" w:hAnsi="Times New Roman"/>
          <w:sz w:val="24"/>
          <w:szCs w:val="24"/>
        </w:rPr>
      </w:pPr>
      <w:r w:rsidRPr="00810846">
        <w:rPr>
          <w:rFonts w:ascii="Times New Roman" w:hAnsi="Times New Roman"/>
          <w:sz w:val="24"/>
          <w:szCs w:val="24"/>
        </w:rPr>
        <w:t>Deafness is a low-incidence disability, which means that a deaf child will often be the only student in the classroom with hearing loss. This leads to a special set of issues in the mainstream classroom. While students with other disabilities may experience isolation and bullying by their non-disabled peers, they often share a common language. This is not the case for deaf students. Very few people in the mainstream academic setting know sign language, which means the communication barrier is large and can have negative effects on both academic achievement and social development.</w:t>
      </w:r>
    </w:p>
    <w:p w:rsidR="00722268" w:rsidRPr="00810846" w:rsidRDefault="00722268" w:rsidP="0016511A">
      <w:pPr>
        <w:spacing w:line="240" w:lineRule="auto"/>
        <w:jc w:val="both"/>
        <w:rPr>
          <w:rFonts w:ascii="Times New Roman" w:hAnsi="Times New Roman"/>
          <w:b/>
          <w:sz w:val="24"/>
          <w:szCs w:val="24"/>
        </w:rPr>
      </w:pPr>
      <w:r w:rsidRPr="00810846">
        <w:rPr>
          <w:rFonts w:ascii="Times New Roman" w:hAnsi="Times New Roman"/>
          <w:b/>
          <w:sz w:val="24"/>
          <w:szCs w:val="24"/>
        </w:rPr>
        <w:t xml:space="preserve">Impact of mainstreaming on </w:t>
      </w:r>
      <w:r w:rsidRPr="00810846">
        <w:rPr>
          <w:rFonts w:ascii="Times New Roman" w:hAnsi="Times New Roman"/>
          <w:b/>
          <w:iCs/>
          <w:sz w:val="24"/>
          <w:szCs w:val="24"/>
        </w:rPr>
        <w:t>Social Skills for Deaf Children</w:t>
      </w:r>
    </w:p>
    <w:p w:rsidR="00810846" w:rsidRPr="00810846" w:rsidRDefault="00722268" w:rsidP="00810846">
      <w:pPr>
        <w:pStyle w:val="ListParagraph"/>
        <w:numPr>
          <w:ilvl w:val="0"/>
          <w:numId w:val="4"/>
        </w:numPr>
        <w:spacing w:line="240" w:lineRule="auto"/>
        <w:jc w:val="both"/>
        <w:rPr>
          <w:rFonts w:ascii="Times New Roman" w:hAnsi="Times New Roman"/>
          <w:sz w:val="24"/>
          <w:szCs w:val="24"/>
        </w:rPr>
      </w:pPr>
      <w:r w:rsidRPr="00810846">
        <w:rPr>
          <w:rFonts w:ascii="Times New Roman" w:hAnsi="Times New Roman"/>
          <w:sz w:val="24"/>
          <w:szCs w:val="24"/>
        </w:rPr>
        <w:t xml:space="preserve">Social skills are </w:t>
      </w:r>
      <w:proofErr w:type="gramStart"/>
      <w:r w:rsidRPr="00810846">
        <w:rPr>
          <w:rFonts w:ascii="Times New Roman" w:hAnsi="Times New Roman"/>
          <w:sz w:val="24"/>
          <w:szCs w:val="24"/>
        </w:rPr>
        <w:t>key</w:t>
      </w:r>
      <w:proofErr w:type="gramEnd"/>
      <w:r w:rsidRPr="00810846">
        <w:rPr>
          <w:rFonts w:ascii="Times New Roman" w:hAnsi="Times New Roman"/>
          <w:sz w:val="24"/>
          <w:szCs w:val="24"/>
        </w:rPr>
        <w:t xml:space="preserve"> to a child’s healthy development and later success as an adult. Although many studies find good academic results for deaf children placed in a mainstream classroom, research also shows that mainstreamed deaf children experience higher degrees of isolation and psychological problems in comparison to deaf students who associate with other deaf peers. </w:t>
      </w:r>
    </w:p>
    <w:p w:rsidR="00722268" w:rsidRPr="00810846" w:rsidRDefault="00722268" w:rsidP="00810846">
      <w:pPr>
        <w:pStyle w:val="ListParagraph"/>
        <w:numPr>
          <w:ilvl w:val="0"/>
          <w:numId w:val="4"/>
        </w:numPr>
        <w:spacing w:line="240" w:lineRule="auto"/>
        <w:jc w:val="both"/>
        <w:rPr>
          <w:rFonts w:ascii="Times New Roman" w:hAnsi="Times New Roman"/>
          <w:sz w:val="24"/>
          <w:szCs w:val="24"/>
        </w:rPr>
      </w:pPr>
      <w:r w:rsidRPr="00810846">
        <w:rPr>
          <w:rFonts w:ascii="Times New Roman" w:hAnsi="Times New Roman"/>
          <w:sz w:val="24"/>
          <w:szCs w:val="24"/>
        </w:rPr>
        <w:t>In order for friendships to form, communication is a necessity. For deaf children unable to use effective communication methods with the people around them, the difficulty in acquiring new friendships typically leads to isolation and a decrease in self-esteem.</w:t>
      </w:r>
    </w:p>
    <w:p w:rsidR="00810846" w:rsidRPr="00810846" w:rsidRDefault="00722268" w:rsidP="00810846">
      <w:pPr>
        <w:pStyle w:val="ListParagraph"/>
        <w:numPr>
          <w:ilvl w:val="0"/>
          <w:numId w:val="4"/>
        </w:numPr>
        <w:spacing w:line="240" w:lineRule="auto"/>
        <w:jc w:val="both"/>
        <w:rPr>
          <w:rFonts w:ascii="Times New Roman" w:hAnsi="Times New Roman"/>
          <w:sz w:val="24"/>
          <w:szCs w:val="24"/>
        </w:rPr>
      </w:pPr>
      <w:r w:rsidRPr="00810846">
        <w:rPr>
          <w:rFonts w:ascii="Times New Roman" w:hAnsi="Times New Roman"/>
          <w:sz w:val="24"/>
          <w:szCs w:val="24"/>
        </w:rPr>
        <w:t>A study of preschool children showed that hearing preschoolers did not appear to adjust how they communicated with deaf children. Instead, they continued to use simple speech, which was effective with hearing, but not deaf, partners. This shows the isolation of the deaf child, and discredits the idea that the hearing and deaf child's communication skills will be enhanced by interaction with one another. In many cases, hearing children do not understand what it means when another child is deaf. This leads to frustration when a deaf child’s speech is not clear or when the deaf child asks for continuous repetition.</w:t>
      </w:r>
    </w:p>
    <w:p w:rsidR="00722268" w:rsidRPr="00810846" w:rsidRDefault="00722268" w:rsidP="00810846">
      <w:pPr>
        <w:pStyle w:val="ListParagraph"/>
        <w:numPr>
          <w:ilvl w:val="0"/>
          <w:numId w:val="4"/>
        </w:numPr>
        <w:spacing w:line="240" w:lineRule="auto"/>
        <w:jc w:val="both"/>
        <w:rPr>
          <w:rFonts w:ascii="Times New Roman" w:hAnsi="Times New Roman"/>
          <w:sz w:val="24"/>
          <w:szCs w:val="24"/>
        </w:rPr>
      </w:pPr>
      <w:r w:rsidRPr="00810846">
        <w:rPr>
          <w:rFonts w:ascii="Times New Roman" w:hAnsi="Times New Roman"/>
          <w:sz w:val="24"/>
          <w:szCs w:val="24"/>
        </w:rPr>
        <w:lastRenderedPageBreak/>
        <w:t>Communication strategies that are culturally acceptable to the deaf child, such as banging on a table or physically touching another person, can also cause the deaf child to be rejected by his or her peers because such behaviors are not always considered acceptable in mainstreaming hearing culture. Research has suggested that the placement of a deaf child in special schools or classes may be more desirable for deaf students than for those with other disabilities. This is primarily because of the greater social benefits for the students.</w:t>
      </w:r>
    </w:p>
    <w:p w:rsidR="00722268" w:rsidRPr="00810846" w:rsidRDefault="00722268" w:rsidP="0016511A">
      <w:pPr>
        <w:spacing w:line="240" w:lineRule="auto"/>
        <w:jc w:val="both"/>
        <w:rPr>
          <w:rFonts w:ascii="Times New Roman" w:hAnsi="Times New Roman"/>
          <w:b/>
          <w:sz w:val="24"/>
          <w:szCs w:val="24"/>
        </w:rPr>
      </w:pPr>
      <w:r w:rsidRPr="00810846">
        <w:rPr>
          <w:rFonts w:ascii="Times New Roman" w:hAnsi="Times New Roman"/>
          <w:b/>
          <w:sz w:val="24"/>
          <w:szCs w:val="24"/>
        </w:rPr>
        <w:t xml:space="preserve">The </w:t>
      </w:r>
      <w:r w:rsidRPr="00810846">
        <w:rPr>
          <w:rFonts w:ascii="Times New Roman" w:hAnsi="Times New Roman"/>
          <w:b/>
          <w:iCs/>
          <w:sz w:val="24"/>
          <w:szCs w:val="24"/>
        </w:rPr>
        <w:t>Residual Knowledge</w:t>
      </w:r>
    </w:p>
    <w:p w:rsidR="00722268" w:rsidRPr="00810846" w:rsidRDefault="00722268" w:rsidP="0016511A">
      <w:pPr>
        <w:spacing w:line="240" w:lineRule="auto"/>
        <w:jc w:val="both"/>
        <w:rPr>
          <w:rFonts w:ascii="Times New Roman" w:hAnsi="Times New Roman"/>
          <w:sz w:val="24"/>
          <w:szCs w:val="24"/>
        </w:rPr>
      </w:pPr>
      <w:bookmarkStart w:id="6" w:name="_Toc427916247"/>
      <w:r w:rsidRPr="00810846">
        <w:rPr>
          <w:rFonts w:ascii="Times New Roman" w:hAnsi="Times New Roman"/>
          <w:sz w:val="24"/>
          <w:szCs w:val="24"/>
        </w:rPr>
        <w:t>The residual knowledge that hearing children can access is often lost on deaf children. A hearing child can listen to adult conversations, TV, radio and the news to learn things that are not specifically taught or told to them. This is not the case with the deaf child, who, in a hearing environment, can only learn what is directly communicated to them. This often leads to gaps in general knowledge, which can be both harmful to academic success and social interactions.</w:t>
      </w:r>
      <w:bookmarkEnd w:id="6"/>
    </w:p>
    <w:p w:rsidR="00722268" w:rsidRPr="00810846" w:rsidRDefault="00722268" w:rsidP="0016511A">
      <w:pPr>
        <w:pStyle w:val="Heading2"/>
        <w:spacing w:line="240" w:lineRule="auto"/>
        <w:jc w:val="both"/>
        <w:rPr>
          <w:rFonts w:ascii="Times New Roman" w:hAnsi="Times New Roman"/>
          <w:i w:val="0"/>
          <w:sz w:val="24"/>
          <w:szCs w:val="24"/>
        </w:rPr>
      </w:pPr>
      <w:bookmarkStart w:id="7" w:name="_Toc427916248"/>
      <w:bookmarkStart w:id="8" w:name="_Toc427920771"/>
      <w:r w:rsidRPr="00810846">
        <w:rPr>
          <w:rFonts w:ascii="Times New Roman" w:hAnsi="Times New Roman"/>
          <w:i w:val="0"/>
          <w:sz w:val="24"/>
          <w:szCs w:val="24"/>
        </w:rPr>
        <w:t>Factors that Hinder Normal Learning and Development</w:t>
      </w:r>
      <w:bookmarkEnd w:id="7"/>
      <w:bookmarkEnd w:id="8"/>
    </w:p>
    <w:p w:rsidR="00722268" w:rsidRPr="00810846" w:rsidRDefault="00722268" w:rsidP="0016511A">
      <w:pPr>
        <w:spacing w:line="240" w:lineRule="auto"/>
        <w:jc w:val="both"/>
        <w:rPr>
          <w:rFonts w:ascii="Times New Roman" w:hAnsi="Times New Roman"/>
          <w:sz w:val="24"/>
          <w:szCs w:val="24"/>
        </w:rPr>
      </w:pPr>
      <w:r w:rsidRPr="00810846">
        <w:rPr>
          <w:rFonts w:ascii="Times New Roman" w:hAnsi="Times New Roman"/>
          <w:sz w:val="24"/>
          <w:szCs w:val="24"/>
        </w:rPr>
        <w:t>There are conditions or factors that hinder normal learning and development of individuals.  The hindrance can be temporary or life-long conditions that do not allow proper progress of an individual because of factors like disabilities, social, emotional, economic, health and political conditions.  These conditions are also referred to as barriers to learning and development.  The barriers can be within the individual or environmental or a combination of the two.</w:t>
      </w:r>
    </w:p>
    <w:p w:rsidR="00722268" w:rsidRPr="00810846" w:rsidRDefault="00722268" w:rsidP="0016511A">
      <w:pPr>
        <w:spacing w:line="240" w:lineRule="auto"/>
        <w:jc w:val="both"/>
        <w:rPr>
          <w:rFonts w:ascii="Times New Roman" w:hAnsi="Times New Roman"/>
          <w:b/>
          <w:sz w:val="24"/>
          <w:szCs w:val="24"/>
        </w:rPr>
      </w:pPr>
      <w:r w:rsidRPr="00810846">
        <w:rPr>
          <w:rFonts w:ascii="Times New Roman" w:hAnsi="Times New Roman"/>
          <w:b/>
          <w:sz w:val="24"/>
          <w:szCs w:val="24"/>
        </w:rPr>
        <w:t>The E</w:t>
      </w:r>
      <w:r w:rsidRPr="00810846">
        <w:rPr>
          <w:rFonts w:ascii="Times New Roman" w:hAnsi="Times New Roman"/>
          <w:b/>
          <w:iCs/>
          <w:sz w:val="24"/>
          <w:szCs w:val="24"/>
        </w:rPr>
        <w:t>ffect of Mainstreaming on Deaf Culture</w:t>
      </w:r>
    </w:p>
    <w:p w:rsidR="00722268" w:rsidRPr="00810846" w:rsidRDefault="00722268" w:rsidP="0016511A">
      <w:pPr>
        <w:spacing w:line="240" w:lineRule="auto"/>
        <w:jc w:val="both"/>
        <w:rPr>
          <w:rFonts w:ascii="Times New Roman" w:hAnsi="Times New Roman"/>
          <w:sz w:val="24"/>
          <w:szCs w:val="24"/>
        </w:rPr>
      </w:pPr>
      <w:r w:rsidRPr="00810846">
        <w:rPr>
          <w:rFonts w:ascii="Times New Roman" w:hAnsi="Times New Roman"/>
          <w:sz w:val="24"/>
          <w:szCs w:val="24"/>
        </w:rPr>
        <w:t>On Deaf culture is also a key issue for Deaf culture advocates. In USA the rate of children enrolled in residential schools for the deaf is declining, as many hearing parents send their child to a mainstream school in hopes of preparing their child for life in the hearing world. In the past, Deaf schools and clubs served as the center for Deaf culture. Traditions, stories, and values developed and were fostered in these settings, but because of the low incidence of deafness, this same environment cannot be duplicated in the mainstream setting. Aside from the decreased socialization of a deaf child in a hearing school, Deaf community advocates also worry that the disappearance of residential Deaf schools will lead to a weakening of Deaf culture and of the community.</w:t>
      </w:r>
    </w:p>
    <w:p w:rsidR="0016511A" w:rsidRPr="00810846" w:rsidRDefault="00722268" w:rsidP="0016511A">
      <w:pPr>
        <w:spacing w:line="240" w:lineRule="auto"/>
        <w:jc w:val="both"/>
        <w:rPr>
          <w:rFonts w:ascii="Times New Roman" w:hAnsi="Times New Roman"/>
          <w:b/>
          <w:sz w:val="24"/>
          <w:szCs w:val="24"/>
        </w:rPr>
      </w:pPr>
      <w:r w:rsidRPr="00810846">
        <w:rPr>
          <w:rFonts w:ascii="Times New Roman" w:hAnsi="Times New Roman"/>
          <w:b/>
          <w:bCs/>
          <w:sz w:val="24"/>
          <w:szCs w:val="24"/>
        </w:rPr>
        <w:t>Summary</w:t>
      </w:r>
      <w:r w:rsidR="0016511A" w:rsidRPr="00810846">
        <w:rPr>
          <w:rFonts w:ascii="Times New Roman" w:hAnsi="Times New Roman"/>
          <w:b/>
          <w:sz w:val="24"/>
          <w:szCs w:val="24"/>
        </w:rPr>
        <w:t xml:space="preserve"> </w:t>
      </w:r>
    </w:p>
    <w:p w:rsidR="00722268" w:rsidRPr="00810846" w:rsidRDefault="0016511A" w:rsidP="0016511A">
      <w:pPr>
        <w:spacing w:line="240" w:lineRule="auto"/>
        <w:jc w:val="both"/>
        <w:rPr>
          <w:rFonts w:ascii="Times New Roman" w:hAnsi="Times New Roman"/>
          <w:bCs/>
          <w:sz w:val="24"/>
          <w:szCs w:val="24"/>
        </w:rPr>
      </w:pPr>
      <w:r w:rsidRPr="00810846">
        <w:rPr>
          <w:rFonts w:ascii="Times New Roman" w:hAnsi="Times New Roman"/>
          <w:sz w:val="24"/>
          <w:szCs w:val="24"/>
        </w:rPr>
        <w:t xml:space="preserve">In this lecture, we have discussed the issue of cost implications for a mainstream </w:t>
      </w:r>
      <w:proofErr w:type="spellStart"/>
      <w:r w:rsidRPr="00810846">
        <w:rPr>
          <w:rFonts w:ascii="Times New Roman" w:hAnsi="Times New Roman"/>
          <w:sz w:val="24"/>
          <w:szCs w:val="24"/>
        </w:rPr>
        <w:t>programme</w:t>
      </w:r>
      <w:proofErr w:type="spellEnd"/>
      <w:r w:rsidRPr="00810846">
        <w:rPr>
          <w:rFonts w:ascii="Times New Roman" w:hAnsi="Times New Roman"/>
          <w:sz w:val="24"/>
          <w:szCs w:val="24"/>
        </w:rPr>
        <w:t xml:space="preserve">. We specifically considered the case of USA as Kenya is yet to start implementation of the mainstream </w:t>
      </w:r>
      <w:proofErr w:type="spellStart"/>
      <w:r w:rsidRPr="00810846">
        <w:rPr>
          <w:rFonts w:ascii="Times New Roman" w:hAnsi="Times New Roman"/>
          <w:sz w:val="24"/>
          <w:szCs w:val="24"/>
        </w:rPr>
        <w:t>programme</w:t>
      </w:r>
      <w:proofErr w:type="spellEnd"/>
      <w:r w:rsidRPr="00810846">
        <w:rPr>
          <w:rFonts w:ascii="Times New Roman" w:hAnsi="Times New Roman"/>
          <w:sz w:val="24"/>
          <w:szCs w:val="24"/>
        </w:rPr>
        <w:t>. In addition, we looked mainstreaming and its effect on deaf children.</w:t>
      </w:r>
      <w:r w:rsidRPr="00810846">
        <w:rPr>
          <w:rFonts w:ascii="Times New Roman" w:hAnsi="Times New Roman"/>
          <w:bCs/>
          <w:sz w:val="24"/>
          <w:szCs w:val="24"/>
        </w:rPr>
        <w:t xml:space="preserve"> </w:t>
      </w:r>
    </w:p>
    <w:p w:rsidR="00722268" w:rsidRPr="00810846" w:rsidRDefault="00722268" w:rsidP="0016511A">
      <w:pPr>
        <w:spacing w:line="240" w:lineRule="auto"/>
        <w:jc w:val="both"/>
        <w:rPr>
          <w:rFonts w:ascii="Times New Roman" w:hAnsi="Times New Roman"/>
          <w:sz w:val="24"/>
          <w:szCs w:val="24"/>
        </w:rPr>
      </w:pPr>
    </w:p>
    <w:p w:rsidR="00722268" w:rsidRPr="00810846" w:rsidRDefault="00722268" w:rsidP="0016511A">
      <w:pPr>
        <w:spacing w:line="240" w:lineRule="auto"/>
        <w:jc w:val="both"/>
        <w:rPr>
          <w:rFonts w:ascii="Times New Roman" w:hAnsi="Times New Roman"/>
          <w:b/>
          <w:sz w:val="24"/>
          <w:szCs w:val="24"/>
        </w:rPr>
      </w:pPr>
      <w:r w:rsidRPr="00810846">
        <w:rPr>
          <w:rFonts w:ascii="Times New Roman" w:hAnsi="Times New Roman"/>
          <w:b/>
          <w:sz w:val="24"/>
          <w:szCs w:val="24"/>
        </w:rPr>
        <w:t>References</w:t>
      </w:r>
    </w:p>
    <w:p w:rsidR="0016511A" w:rsidRPr="00810846" w:rsidRDefault="0016511A" w:rsidP="0016511A">
      <w:pPr>
        <w:pStyle w:val="NormalWeb"/>
        <w:jc w:val="both"/>
      </w:pPr>
      <w:r w:rsidRPr="00810846">
        <w:t xml:space="preserve">Cheryl M. Jorgensen Ph.D., Michael </w:t>
      </w:r>
      <w:proofErr w:type="spellStart"/>
      <w:r w:rsidRPr="00810846">
        <w:t>McSheehan</w:t>
      </w:r>
      <w:proofErr w:type="spellEnd"/>
      <w:r w:rsidRPr="00810846">
        <w:t xml:space="preserve">, Rae M. </w:t>
      </w:r>
      <w:proofErr w:type="spellStart"/>
      <w:r w:rsidRPr="00810846">
        <w:t>Sonnenmeier</w:t>
      </w:r>
      <w:proofErr w:type="spellEnd"/>
      <w:r w:rsidRPr="00810846">
        <w:t xml:space="preserve"> Ph.D. (1998). </w:t>
      </w:r>
      <w:hyperlink r:id="rId5" w:history="1">
        <w:r w:rsidRPr="00810846">
          <w:rPr>
            <w:rStyle w:val="Hyperlink"/>
            <w:color w:val="auto"/>
            <w:u w:val="none"/>
          </w:rPr>
          <w:t xml:space="preserve">The </w:t>
        </w:r>
        <w:r w:rsidRPr="00810846">
          <w:rPr>
            <w:rStyle w:val="Hyperlink"/>
            <w:color w:val="auto"/>
            <w:u w:val="none"/>
          </w:rPr>
          <w:tab/>
        </w:r>
        <w:r w:rsidRPr="00810846">
          <w:rPr>
            <w:rStyle w:val="Hyperlink"/>
            <w:color w:val="auto"/>
            <w:u w:val="none"/>
          </w:rPr>
          <w:tab/>
          <w:t>Beyond Access Model:</w:t>
        </w:r>
      </w:hyperlink>
      <w:r w:rsidRPr="00810846">
        <w:t xml:space="preserve"> Promoting Membership, Participation, and Learning for </w:t>
      </w:r>
      <w:r w:rsidRPr="00810846">
        <w:tab/>
      </w:r>
      <w:r w:rsidRPr="00810846">
        <w:tab/>
        <w:t xml:space="preserve">Students with Disabilities in the General Education Classroom </w:t>
      </w:r>
    </w:p>
    <w:p w:rsidR="0016511A" w:rsidRPr="00810846" w:rsidRDefault="0016511A" w:rsidP="0016511A">
      <w:pPr>
        <w:pStyle w:val="NormalWeb"/>
        <w:jc w:val="both"/>
      </w:pPr>
      <w:proofErr w:type="gramStart"/>
      <w:r w:rsidRPr="00810846">
        <w:lastRenderedPageBreak/>
        <w:t xml:space="preserve">Julie </w:t>
      </w:r>
      <w:proofErr w:type="spellStart"/>
      <w:r w:rsidRPr="00810846">
        <w:t>Causton</w:t>
      </w:r>
      <w:proofErr w:type="spellEnd"/>
      <w:r w:rsidRPr="00810846">
        <w:t xml:space="preserve"> and George </w:t>
      </w:r>
      <w:proofErr w:type="spellStart"/>
      <w:r w:rsidRPr="00810846">
        <w:t>Theoharis</w:t>
      </w:r>
      <w:proofErr w:type="spellEnd"/>
      <w:r w:rsidRPr="00810846">
        <w:t xml:space="preserve"> (2009).</w:t>
      </w:r>
      <w:proofErr w:type="gramEnd"/>
      <w:r w:rsidRPr="00810846">
        <w:t xml:space="preserve"> </w:t>
      </w:r>
      <w:hyperlink r:id="rId6" w:history="1">
        <w:r w:rsidRPr="00810846">
          <w:rPr>
            <w:rStyle w:val="Hyperlink"/>
            <w:color w:val="auto"/>
            <w:u w:val="none"/>
          </w:rPr>
          <w:t xml:space="preserve">The Principal’s Handbook for Leading Inclusive </w:t>
        </w:r>
        <w:r w:rsidRPr="00810846">
          <w:rPr>
            <w:rStyle w:val="Hyperlink"/>
            <w:color w:val="auto"/>
            <w:u w:val="none"/>
          </w:rPr>
          <w:tab/>
        </w:r>
        <w:r w:rsidRPr="00810846">
          <w:rPr>
            <w:rStyle w:val="Hyperlink"/>
            <w:color w:val="auto"/>
            <w:u w:val="none"/>
          </w:rPr>
          <w:tab/>
          <w:t>Schools</w:t>
        </w:r>
      </w:hyperlink>
      <w:r w:rsidRPr="00810846">
        <w:t xml:space="preserve"> </w:t>
      </w:r>
    </w:p>
    <w:p w:rsidR="0016511A" w:rsidRPr="00810846" w:rsidRDefault="0016511A" w:rsidP="0016511A">
      <w:pPr>
        <w:pStyle w:val="NormalWeb"/>
        <w:jc w:val="both"/>
      </w:pPr>
      <w:r w:rsidRPr="00810846">
        <w:t xml:space="preserve">Teresa </w:t>
      </w:r>
      <w:proofErr w:type="spellStart"/>
      <w:r w:rsidRPr="00810846">
        <w:t>Grossi</w:t>
      </w:r>
      <w:proofErr w:type="spellEnd"/>
      <w:r w:rsidRPr="00810846">
        <w:t xml:space="preserve"> Ph.D., Cassandra M. Cole </w:t>
      </w:r>
      <w:proofErr w:type="spellStart"/>
      <w:r w:rsidRPr="00810846">
        <w:t>Ed.D.</w:t>
      </w:r>
      <w:hyperlink r:id="rId7" w:history="1">
        <w:proofErr w:type="gramStart"/>
        <w:r w:rsidRPr="00810846">
          <w:rPr>
            <w:rStyle w:val="Hyperlink"/>
            <w:color w:val="auto"/>
            <w:u w:val="none"/>
          </w:rPr>
          <w:t>Teaching</w:t>
        </w:r>
        <w:proofErr w:type="spellEnd"/>
        <w:r w:rsidRPr="00810846">
          <w:rPr>
            <w:rStyle w:val="Hyperlink"/>
            <w:color w:val="auto"/>
            <w:u w:val="none"/>
          </w:rPr>
          <w:t xml:space="preserve"> (2007).</w:t>
        </w:r>
        <w:proofErr w:type="gramEnd"/>
        <w:r w:rsidRPr="00810846">
          <w:rPr>
            <w:rStyle w:val="Hyperlink"/>
            <w:color w:val="auto"/>
            <w:u w:val="none"/>
          </w:rPr>
          <w:t xml:space="preserve"> Transition Skills in Inclusive </w:t>
        </w:r>
        <w:r w:rsidRPr="00810846">
          <w:rPr>
            <w:rStyle w:val="Hyperlink"/>
            <w:color w:val="auto"/>
            <w:u w:val="none"/>
          </w:rPr>
          <w:tab/>
        </w:r>
        <w:r w:rsidRPr="00810846">
          <w:rPr>
            <w:rStyle w:val="Hyperlink"/>
            <w:color w:val="auto"/>
            <w:u w:val="none"/>
          </w:rPr>
          <w:tab/>
          <w:t>Schools</w:t>
        </w:r>
      </w:hyperlink>
      <w:r w:rsidRPr="00810846">
        <w:t xml:space="preserve"> </w:t>
      </w:r>
    </w:p>
    <w:p w:rsidR="0016511A" w:rsidRPr="00810846" w:rsidRDefault="0016511A" w:rsidP="0016511A">
      <w:pPr>
        <w:pStyle w:val="NormalWeb"/>
        <w:jc w:val="both"/>
      </w:pPr>
      <w:r w:rsidRPr="00810846">
        <w:t xml:space="preserve"> </w:t>
      </w:r>
      <w:proofErr w:type="spellStart"/>
      <w:r w:rsidRPr="00810846">
        <w:t>Richael</w:t>
      </w:r>
      <w:proofErr w:type="spellEnd"/>
      <w:r w:rsidRPr="00810846">
        <w:t xml:space="preserve"> Barger-Anderson </w:t>
      </w:r>
      <w:proofErr w:type="spellStart"/>
      <w:proofErr w:type="gramStart"/>
      <w:r w:rsidRPr="00810846">
        <w:t>Ed.D</w:t>
      </w:r>
      <w:proofErr w:type="spellEnd"/>
      <w:r w:rsidRPr="00810846">
        <w:t>.,</w:t>
      </w:r>
      <w:proofErr w:type="gramEnd"/>
      <w:r w:rsidRPr="00810846">
        <w:t xml:space="preserve"> Robert S. Isherwood </w:t>
      </w:r>
      <w:proofErr w:type="spellStart"/>
      <w:r w:rsidRPr="00810846">
        <w:t>Ed.D</w:t>
      </w:r>
      <w:proofErr w:type="spellEnd"/>
      <w:r w:rsidRPr="00810846">
        <w:t xml:space="preserve">., Joseph </w:t>
      </w:r>
      <w:proofErr w:type="spellStart"/>
      <w:r w:rsidRPr="00810846">
        <w:t>Merhaut</w:t>
      </w:r>
      <w:proofErr w:type="spellEnd"/>
      <w:r w:rsidRPr="00810846">
        <w:t xml:space="preserve"> </w:t>
      </w:r>
      <w:proofErr w:type="spellStart"/>
      <w:r w:rsidRPr="00810846">
        <w:t>Ed.D</w:t>
      </w:r>
      <w:proofErr w:type="spellEnd"/>
      <w:r w:rsidRPr="00810846">
        <w:t>.(2006).</w:t>
      </w:r>
    </w:p>
    <w:p w:rsidR="0016511A" w:rsidRPr="00810846" w:rsidRDefault="0016511A" w:rsidP="0016511A">
      <w:pPr>
        <w:pStyle w:val="NormalWeb"/>
        <w:jc w:val="both"/>
      </w:pPr>
      <w:r w:rsidRPr="00810846">
        <w:tab/>
      </w:r>
      <w:r w:rsidRPr="00810846">
        <w:tab/>
      </w:r>
      <w:hyperlink r:id="rId8" w:history="1">
        <w:r w:rsidRPr="00810846">
          <w:rPr>
            <w:rStyle w:val="Hyperlink"/>
            <w:color w:val="auto"/>
            <w:u w:val="none"/>
          </w:rPr>
          <w:t xml:space="preserve">Strategic Co-Teaching in Your School: </w:t>
        </w:r>
      </w:hyperlink>
      <w:r w:rsidRPr="00810846">
        <w:t>Using the Co-Design Model</w:t>
      </w:r>
    </w:p>
    <w:p w:rsidR="0016511A" w:rsidRPr="00810846" w:rsidRDefault="0016511A" w:rsidP="0016511A">
      <w:pPr>
        <w:rPr>
          <w:rFonts w:ascii="Times New Roman" w:hAnsi="Times New Roman"/>
          <w:b/>
          <w:color w:val="0D0D0D"/>
          <w:sz w:val="24"/>
          <w:szCs w:val="24"/>
        </w:rPr>
      </w:pPr>
    </w:p>
    <w:p w:rsidR="00345BBC" w:rsidRDefault="00345BBC"/>
    <w:sectPr w:rsidR="00345BBC" w:rsidSect="00345B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1371F"/>
    <w:multiLevelType w:val="hybridMultilevel"/>
    <w:tmpl w:val="5528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CD1703"/>
    <w:multiLevelType w:val="hybridMultilevel"/>
    <w:tmpl w:val="AB44B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774CAA"/>
    <w:multiLevelType w:val="multilevel"/>
    <w:tmpl w:val="C352D560"/>
    <w:lvl w:ilvl="0">
      <w:start w:val="2"/>
      <w:numFmt w:val="decimal"/>
      <w:lvlText w:val="%1.0"/>
      <w:lvlJc w:val="left"/>
      <w:pPr>
        <w:ind w:left="108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
    <w:nsid w:val="7E3C244D"/>
    <w:multiLevelType w:val="multilevel"/>
    <w:tmpl w:val="B6FEB9F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722268"/>
    <w:rsid w:val="0016511A"/>
    <w:rsid w:val="002B0498"/>
    <w:rsid w:val="00345BBC"/>
    <w:rsid w:val="00545EAC"/>
    <w:rsid w:val="00722268"/>
    <w:rsid w:val="00810846"/>
    <w:rsid w:val="00A920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268"/>
    <w:rPr>
      <w:rFonts w:ascii="Calibri" w:eastAsia="Times New Roman" w:hAnsi="Calibri" w:cs="Times New Roman"/>
    </w:rPr>
  </w:style>
  <w:style w:type="paragraph" w:styleId="Heading1">
    <w:name w:val="heading 1"/>
    <w:basedOn w:val="Normal"/>
    <w:next w:val="Normal"/>
    <w:link w:val="Heading1Char"/>
    <w:uiPriority w:val="9"/>
    <w:qFormat/>
    <w:rsid w:val="00722268"/>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2226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26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722268"/>
    <w:rPr>
      <w:rFonts w:ascii="Cambria" w:eastAsia="Times New Roman" w:hAnsi="Cambria" w:cs="Times New Roman"/>
      <w:b/>
      <w:bCs/>
      <w:i/>
      <w:iCs/>
      <w:sz w:val="28"/>
      <w:szCs w:val="28"/>
    </w:rPr>
  </w:style>
  <w:style w:type="paragraph" w:styleId="ListParagraph">
    <w:name w:val="List Paragraph"/>
    <w:basedOn w:val="Normal"/>
    <w:uiPriority w:val="34"/>
    <w:qFormat/>
    <w:rsid w:val="00722268"/>
    <w:pPr>
      <w:ind w:left="720"/>
      <w:contextualSpacing/>
    </w:pPr>
  </w:style>
  <w:style w:type="paragraph" w:styleId="NormalWeb">
    <w:name w:val="Normal (Web)"/>
    <w:basedOn w:val="Normal"/>
    <w:uiPriority w:val="99"/>
    <w:unhideWhenUsed/>
    <w:rsid w:val="00722268"/>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722268"/>
    <w:rPr>
      <w:color w:val="0000FF"/>
      <w:u w:val="single"/>
    </w:rPr>
  </w:style>
  <w:style w:type="paragraph" w:styleId="BodyText">
    <w:name w:val="Body Text"/>
    <w:basedOn w:val="Normal"/>
    <w:link w:val="BodyTextChar"/>
    <w:unhideWhenUsed/>
    <w:rsid w:val="00722268"/>
    <w:pPr>
      <w:spacing w:after="0" w:line="240" w:lineRule="auto"/>
    </w:pPr>
    <w:rPr>
      <w:rFonts w:ascii="Times New Roman" w:hAnsi="Times New Roman"/>
      <w:sz w:val="24"/>
      <w:szCs w:val="20"/>
    </w:rPr>
  </w:style>
  <w:style w:type="character" w:customStyle="1" w:styleId="BodyTextChar">
    <w:name w:val="Body Text Char"/>
    <w:basedOn w:val="DefaultParagraphFont"/>
    <w:link w:val="BodyText"/>
    <w:rsid w:val="0072226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22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26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ducts.brookespublishing.com/Strategic-Co-Teaching-in-Your-School-P660.aspx" TargetMode="External"/><Relationship Id="rId3" Type="http://schemas.openxmlformats.org/officeDocument/2006/relationships/settings" Target="settings.xml"/><Relationship Id="rId7" Type="http://schemas.openxmlformats.org/officeDocument/2006/relationships/hyperlink" Target="http://products.brookespublishing.com/Teaching-Transition-Skills-in-Inclusive-Schools-P66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ducts.brookespublishing.com/The-Principals-Handbook-for-Leading-Inclusive-Schools-P696.aspx" TargetMode="External"/><Relationship Id="rId5" Type="http://schemas.openxmlformats.org/officeDocument/2006/relationships/hyperlink" Target="http://products.brookespublishing.com/The-Beyond-Access-Model-P344.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1029</Words>
  <Characters>5871</Characters>
  <Application>Microsoft Office Word</Application>
  <DocSecurity>0</DocSecurity>
  <Lines>48</Lines>
  <Paragraphs>13</Paragraphs>
  <ScaleCrop>false</ScaleCrop>
  <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2019-12-23T08:45:00Z</dcterms:created>
  <dcterms:modified xsi:type="dcterms:W3CDTF">2019-12-23T18:35:00Z</dcterms:modified>
</cp:coreProperties>
</file>